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95B99" w14:textId="55B7274C" w:rsidR="2D159C55" w:rsidRPr="003E4B88" w:rsidRDefault="2D159C55" w:rsidP="003E4B88">
      <w:pPr>
        <w:pStyle w:val="Heading1"/>
        <w:rPr>
          <w:rFonts w:ascii="Calibri" w:hAnsi="Calibri" w:cs="Calibri"/>
          <w:b/>
          <w:bCs/>
          <w:color w:val="auto"/>
          <w:sz w:val="40"/>
          <w:szCs w:val="40"/>
        </w:rPr>
      </w:pPr>
      <w:r w:rsidRPr="003E4B88">
        <w:rPr>
          <w:rFonts w:ascii="Calibri" w:hAnsi="Calibri" w:cs="Calibri"/>
          <w:b/>
          <w:bCs/>
          <w:color w:val="auto"/>
          <w:sz w:val="40"/>
          <w:szCs w:val="40"/>
        </w:rPr>
        <w:t>Frequently Asked Questions</w:t>
      </w:r>
    </w:p>
    <w:p w14:paraId="1D62B1CA" w14:textId="77777777" w:rsidR="00EF47EF" w:rsidRPr="00EF47EF" w:rsidRDefault="00EF47EF" w:rsidP="00EF47EF">
      <w:pPr>
        <w:pStyle w:val="Heading2"/>
        <w:spacing w:after="0" w:line="240" w:lineRule="auto"/>
        <w:ind w:right="-188"/>
        <w:rPr>
          <w:rFonts w:ascii="Calibri" w:hAnsi="Calibri" w:cs="Calibri"/>
          <w:b/>
          <w:bCs/>
          <w:color w:val="auto"/>
        </w:rPr>
      </w:pPr>
      <w:r w:rsidRPr="00EF47EF">
        <w:rPr>
          <w:rFonts w:ascii="Calibri" w:hAnsi="Calibri" w:cs="Calibri"/>
          <w:b/>
          <w:bCs/>
          <w:color w:val="auto"/>
        </w:rPr>
        <w:t>Why is CTW making this change?</w:t>
      </w:r>
    </w:p>
    <w:p w14:paraId="6E4B5A63" w14:textId="77777777"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CTW has reviewed its Drinking Water Management System and Rural Water Supply Policy to ensure that the level of service provided to customers is accurately described and easy to understand.</w:t>
      </w:r>
    </w:p>
    <w:p w14:paraId="740328A6" w14:textId="7AEB153D"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Water supplied to rural properties receives the same treatment at the water treatment plant as water supplied to towns and villages. However, the conditions in rural supply systems can be very different. Rural customers may be connected through long pipelines that serve relatively few properties and may have low or variable water use.</w:t>
      </w:r>
      <w:r>
        <w:rPr>
          <w:rFonts w:ascii="Calibri" w:hAnsi="Calibri" w:cs="Calibri"/>
          <w:sz w:val="22"/>
          <w:szCs w:val="22"/>
        </w:rPr>
        <w:t xml:space="preserve"> </w:t>
      </w:r>
      <w:r w:rsidRPr="00EF47EF">
        <w:rPr>
          <w:rFonts w:ascii="Calibri" w:hAnsi="Calibri" w:cs="Calibri"/>
          <w:sz w:val="22"/>
          <w:szCs w:val="22"/>
        </w:rPr>
        <w:t>Because of these conditions, CTW cannot always achieve, maintain or verify all of the operational parameters used to demonstrate drinking water compliance at every rural connection point. This includes chlorine residual and, in some parts of the network, the disinfectant concentration and contact time needed to demonstrate effective disinfection.</w:t>
      </w:r>
    </w:p>
    <w:p w14:paraId="568A5E90" w14:textId="01D49190"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These limitations do not occur everywhere in the rural network. However, because they can occur in certain areas or under certain operating conditions, CTW cannot guarantee the same level of potable water assurance at every rural property boundary as it can within town and village reticulated systems.</w:t>
      </w:r>
      <w:r>
        <w:rPr>
          <w:rFonts w:ascii="Calibri" w:hAnsi="Calibri" w:cs="Calibri"/>
          <w:sz w:val="22"/>
          <w:szCs w:val="22"/>
        </w:rPr>
        <w:t xml:space="preserve"> </w:t>
      </w:r>
      <w:r w:rsidRPr="00EF47EF">
        <w:rPr>
          <w:rFonts w:ascii="Calibri" w:hAnsi="Calibri" w:cs="Calibri"/>
          <w:sz w:val="22"/>
          <w:szCs w:val="22"/>
        </w:rPr>
        <w:t>Classifying rural supplies as non-potable makes the level of service clearer and better reflects what CTW can reasonably assure.</w:t>
      </w:r>
    </w:p>
    <w:p w14:paraId="155A8DC9" w14:textId="77777777" w:rsidR="00EF47EF" w:rsidRPr="00EF47EF" w:rsidRDefault="00EF47EF" w:rsidP="00EF47EF">
      <w:pPr>
        <w:pStyle w:val="Heading2"/>
        <w:spacing w:after="0" w:line="240" w:lineRule="auto"/>
        <w:ind w:right="-188"/>
        <w:rPr>
          <w:rFonts w:ascii="Calibri" w:hAnsi="Calibri" w:cs="Calibri"/>
          <w:b/>
          <w:bCs/>
          <w:color w:val="auto"/>
        </w:rPr>
      </w:pPr>
      <w:r w:rsidRPr="00EF47EF">
        <w:rPr>
          <w:rFonts w:ascii="Calibri" w:hAnsi="Calibri" w:cs="Calibri"/>
          <w:b/>
          <w:bCs/>
          <w:color w:val="auto"/>
        </w:rPr>
        <w:t>Why is this happening now?</w:t>
      </w:r>
    </w:p>
    <w:p w14:paraId="5C7EF720" w14:textId="2F4D45FA"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Modern drinking water management places greater emphasis on risk management and verifying water quality throughout the whole supply system, not just at the treatment plant.</w:t>
      </w:r>
      <w:r>
        <w:rPr>
          <w:rFonts w:ascii="Calibri" w:hAnsi="Calibri" w:cs="Calibri"/>
          <w:sz w:val="22"/>
          <w:szCs w:val="22"/>
        </w:rPr>
        <w:t xml:space="preserve"> </w:t>
      </w:r>
      <w:r w:rsidRPr="00EF47EF">
        <w:rPr>
          <w:rFonts w:ascii="Calibri" w:hAnsi="Calibri" w:cs="Calibri"/>
          <w:sz w:val="22"/>
          <w:szCs w:val="22"/>
        </w:rPr>
        <w:t>During CTW's review, it was identified that some rural supply arrangements present practical challenges for consistently demonstrating potable water compliance at every rural connection point. These challenges may relate to long pipeline distances, low water turnover, water age, storage arrangements, hydraulic conditions and changing demand patterns.</w:t>
      </w:r>
      <w:r>
        <w:rPr>
          <w:rFonts w:ascii="Calibri" w:hAnsi="Calibri" w:cs="Calibri"/>
          <w:sz w:val="22"/>
          <w:szCs w:val="22"/>
        </w:rPr>
        <w:t xml:space="preserve"> </w:t>
      </w:r>
      <w:r w:rsidRPr="00EF47EF">
        <w:rPr>
          <w:rFonts w:ascii="Calibri" w:hAnsi="Calibri" w:cs="Calibri"/>
          <w:sz w:val="22"/>
          <w:szCs w:val="22"/>
        </w:rPr>
        <w:t>The revised classification gives customers clearer information about the service that can reasonably be provided and supports a transparent, risk-based approach to public health management.</w:t>
      </w:r>
    </w:p>
    <w:p w14:paraId="0DDB712D" w14:textId="77777777" w:rsidR="00EF47EF" w:rsidRPr="00EF47EF" w:rsidRDefault="00EF47EF" w:rsidP="00EF47EF">
      <w:pPr>
        <w:pStyle w:val="Heading2"/>
        <w:spacing w:after="0" w:line="240" w:lineRule="auto"/>
        <w:ind w:right="-188"/>
        <w:rPr>
          <w:rFonts w:ascii="Calibri" w:hAnsi="Calibri" w:cs="Calibri"/>
          <w:b/>
          <w:bCs/>
          <w:color w:val="auto"/>
        </w:rPr>
      </w:pPr>
      <w:r w:rsidRPr="00EF47EF">
        <w:rPr>
          <w:rFonts w:ascii="Calibri" w:hAnsi="Calibri" w:cs="Calibri"/>
          <w:b/>
          <w:bCs/>
          <w:color w:val="auto"/>
        </w:rPr>
        <w:t>Can CTW simply add more chlorine?</w:t>
      </w:r>
    </w:p>
    <w:p w14:paraId="36918A10" w14:textId="77777777"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No. Chlorine dosing must remain within practical and regulatory limits. Adding more chlorine at the treatment plant is not a simple solution and may not resolve the issue at distant rural connections.</w:t>
      </w:r>
    </w:p>
    <w:p w14:paraId="086A62EE" w14:textId="77777777"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Effective disinfection depends on both chlorine concentration and sufficient contact time between the chlorine and the water. It also depends on factors such as chlorine demand, water age, temperature, pipeline conditions and water turnover.</w:t>
      </w:r>
    </w:p>
    <w:p w14:paraId="7461F323" w14:textId="77777777"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In long or low-demand rural pipelines, chlorine can naturally reduce over time. In some locations, CTW may not be able to consistently maintain or verify the required combination of chlorine concentration and contact time through to every rural connection point. This is why the issue is about overall system assurance, not simply the amount of chlorine added at the treatment plant.</w:t>
      </w:r>
    </w:p>
    <w:p w14:paraId="6CB98C22" w14:textId="77777777" w:rsidR="00EF47EF" w:rsidRPr="00EF47EF" w:rsidRDefault="00EF47EF" w:rsidP="00EF47EF">
      <w:pPr>
        <w:pStyle w:val="Heading2"/>
        <w:spacing w:after="0" w:line="240" w:lineRule="auto"/>
        <w:ind w:right="-188"/>
        <w:rPr>
          <w:rFonts w:ascii="Calibri" w:hAnsi="Calibri" w:cs="Calibri"/>
          <w:b/>
          <w:bCs/>
          <w:color w:val="auto"/>
        </w:rPr>
      </w:pPr>
      <w:r w:rsidRPr="00EF47EF">
        <w:rPr>
          <w:rFonts w:ascii="Calibri" w:hAnsi="Calibri" w:cs="Calibri"/>
          <w:b/>
          <w:bCs/>
          <w:color w:val="auto"/>
        </w:rPr>
        <w:t>Can CTW flush the pipelines more frequently?</w:t>
      </w:r>
    </w:p>
    <w:p w14:paraId="6D8C4620" w14:textId="74695C54"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Flushing can improve water quality in some circumstances, but it is not a practical long-term solution for all rural supply areas.</w:t>
      </w:r>
      <w:r>
        <w:rPr>
          <w:rFonts w:ascii="Calibri" w:hAnsi="Calibri" w:cs="Calibri"/>
          <w:sz w:val="22"/>
          <w:szCs w:val="22"/>
        </w:rPr>
        <w:t xml:space="preserve"> </w:t>
      </w:r>
      <w:r w:rsidRPr="00EF47EF">
        <w:rPr>
          <w:rFonts w:ascii="Calibri" w:hAnsi="Calibri" w:cs="Calibri"/>
          <w:sz w:val="22"/>
          <w:szCs w:val="22"/>
        </w:rPr>
        <w:t>Regular flushing of large rural trunk mains would use significant water, increase operating costs and may still not provide a reliable way to maintain or verify the required water quality parameters at every rural connection point.</w:t>
      </w:r>
    </w:p>
    <w:p w14:paraId="396B25AC" w14:textId="77777777" w:rsidR="00EF47EF" w:rsidRPr="00EF47EF" w:rsidRDefault="00EF47EF" w:rsidP="00EF47EF">
      <w:pPr>
        <w:pStyle w:val="Heading2"/>
        <w:spacing w:after="0" w:line="240" w:lineRule="auto"/>
        <w:ind w:right="-188"/>
        <w:rPr>
          <w:rFonts w:ascii="Calibri" w:hAnsi="Calibri" w:cs="Calibri"/>
          <w:b/>
          <w:bCs/>
          <w:color w:val="auto"/>
        </w:rPr>
      </w:pPr>
      <w:r w:rsidRPr="00EF47EF">
        <w:rPr>
          <w:rFonts w:ascii="Calibri" w:hAnsi="Calibri" w:cs="Calibri"/>
          <w:b/>
          <w:bCs/>
          <w:color w:val="auto"/>
        </w:rPr>
        <w:t>Is the water changing?</w:t>
      </w:r>
    </w:p>
    <w:p w14:paraId="7DEAF37A" w14:textId="140F8B62"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No. The source water, treatment process and distribution network are not changing as a result of this classification.</w:t>
      </w:r>
      <w:r>
        <w:rPr>
          <w:rFonts w:ascii="Calibri" w:hAnsi="Calibri" w:cs="Calibri"/>
          <w:sz w:val="22"/>
          <w:szCs w:val="22"/>
        </w:rPr>
        <w:t xml:space="preserve"> </w:t>
      </w:r>
      <w:r w:rsidRPr="00EF47EF">
        <w:rPr>
          <w:rFonts w:ascii="Calibri" w:hAnsi="Calibri" w:cs="Calibri"/>
          <w:sz w:val="22"/>
          <w:szCs w:val="22"/>
        </w:rPr>
        <w:t>The change is about how CTW describes the rural service, based on the level of drinking water quality assurance that can reasonably be provided at rural customer connection points.</w:t>
      </w:r>
    </w:p>
    <w:p w14:paraId="398B89FB" w14:textId="77777777" w:rsidR="00EF47EF" w:rsidRPr="00EF47EF" w:rsidRDefault="00EF47EF" w:rsidP="00EF47EF">
      <w:pPr>
        <w:pStyle w:val="Heading2"/>
        <w:spacing w:after="0" w:line="240" w:lineRule="auto"/>
        <w:rPr>
          <w:rFonts w:ascii="Calibri" w:hAnsi="Calibri" w:cs="Calibri"/>
          <w:b/>
          <w:bCs/>
          <w:color w:val="auto"/>
        </w:rPr>
      </w:pPr>
      <w:r w:rsidRPr="00EF47EF">
        <w:rPr>
          <w:rFonts w:ascii="Calibri" w:hAnsi="Calibri" w:cs="Calibri"/>
          <w:b/>
          <w:bCs/>
          <w:color w:val="auto"/>
        </w:rPr>
        <w:lastRenderedPageBreak/>
        <w:t>Is the water safe to drink?</w:t>
      </w:r>
    </w:p>
    <w:p w14:paraId="60006F0B" w14:textId="1CE65D8C"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CTW treats the water before it enters the distribution network. However, because CTW cannot consistently demonstrate that rural water supplied at every property connection point meets drinking water requirements, rural supplies are classified as non-potable.</w:t>
      </w:r>
      <w:r>
        <w:rPr>
          <w:rFonts w:ascii="Calibri" w:hAnsi="Calibri" w:cs="Calibri"/>
          <w:sz w:val="22"/>
          <w:szCs w:val="22"/>
        </w:rPr>
        <w:t xml:space="preserve"> </w:t>
      </w:r>
      <w:r w:rsidRPr="00EF47EF">
        <w:rPr>
          <w:rFonts w:ascii="Calibri" w:hAnsi="Calibri" w:cs="Calibri"/>
          <w:sz w:val="22"/>
          <w:szCs w:val="22"/>
        </w:rPr>
        <w:t>Customers should not assume that water from a rural connection is suitable for drinking, food preparation or other potable uses unless it has been independently treated and managed appropriately.</w:t>
      </w:r>
    </w:p>
    <w:p w14:paraId="0BB0F41B" w14:textId="77777777" w:rsidR="00EF47EF" w:rsidRPr="00EF47EF" w:rsidRDefault="00EF47EF" w:rsidP="00EF47EF">
      <w:pPr>
        <w:pStyle w:val="Heading2"/>
        <w:spacing w:after="0" w:line="240" w:lineRule="auto"/>
        <w:ind w:right="-188"/>
        <w:rPr>
          <w:rFonts w:ascii="Calibri" w:hAnsi="Calibri" w:cs="Calibri"/>
          <w:b/>
          <w:bCs/>
          <w:color w:val="auto"/>
        </w:rPr>
      </w:pPr>
      <w:r w:rsidRPr="00EF47EF">
        <w:rPr>
          <w:rFonts w:ascii="Calibri" w:hAnsi="Calibri" w:cs="Calibri"/>
          <w:b/>
          <w:bCs/>
          <w:color w:val="auto"/>
        </w:rPr>
        <w:t>What are the risks if I drink untreated water from a rural connection?</w:t>
      </w:r>
    </w:p>
    <w:p w14:paraId="3C15A3CF" w14:textId="45EC43DB"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The key issue is that CTW cannot consistently verify ongoing disinfection performance at every rural connection point.</w:t>
      </w:r>
      <w:r>
        <w:rPr>
          <w:rFonts w:ascii="Calibri" w:hAnsi="Calibri" w:cs="Calibri"/>
          <w:sz w:val="22"/>
          <w:szCs w:val="22"/>
        </w:rPr>
        <w:t xml:space="preserve"> </w:t>
      </w:r>
      <w:r w:rsidRPr="00EF47EF">
        <w:rPr>
          <w:rFonts w:ascii="Calibri" w:hAnsi="Calibri" w:cs="Calibri"/>
          <w:sz w:val="22"/>
          <w:szCs w:val="22"/>
        </w:rPr>
        <w:t>Where disinfectant residuals or concentration and contact time parameters cannot be verified, there is less assurance that the water remains suitable for drinking through to the property connection. Other risks may also arise from on-site tanks, private plumbing, cross-connections or other customer-side arrangements.</w:t>
      </w:r>
      <w:r>
        <w:rPr>
          <w:rFonts w:ascii="Calibri" w:hAnsi="Calibri" w:cs="Calibri"/>
          <w:sz w:val="22"/>
          <w:szCs w:val="22"/>
        </w:rPr>
        <w:t xml:space="preserve"> </w:t>
      </w:r>
      <w:r w:rsidRPr="00EF47EF">
        <w:rPr>
          <w:rFonts w:ascii="Calibri" w:hAnsi="Calibri" w:cs="Calibri"/>
          <w:sz w:val="22"/>
          <w:szCs w:val="22"/>
        </w:rPr>
        <w:t>The purpose of the classification is to make this limitation clear so customers can make suitable arrangements where potable water is required.</w:t>
      </w:r>
    </w:p>
    <w:p w14:paraId="253A113F" w14:textId="77777777" w:rsidR="00EF47EF" w:rsidRPr="00EF47EF" w:rsidRDefault="00EF47EF" w:rsidP="00EF47EF">
      <w:pPr>
        <w:pStyle w:val="Heading2"/>
        <w:spacing w:after="0" w:line="240" w:lineRule="auto"/>
        <w:ind w:right="-188"/>
        <w:rPr>
          <w:rFonts w:ascii="Calibri" w:hAnsi="Calibri" w:cs="Calibri"/>
          <w:b/>
          <w:bCs/>
          <w:color w:val="auto"/>
        </w:rPr>
      </w:pPr>
      <w:r w:rsidRPr="00EF47EF">
        <w:rPr>
          <w:rFonts w:ascii="Calibri" w:hAnsi="Calibri" w:cs="Calibri"/>
          <w:b/>
          <w:bCs/>
          <w:color w:val="auto"/>
        </w:rPr>
        <w:t>Can I install treatment equipment?</w:t>
      </w:r>
    </w:p>
    <w:p w14:paraId="0490C3BA" w14:textId="69DD9847"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Yes. Some rural customers use rainwater systems, filtration, ultraviolet disinfection, chlorination or other treatment arrangements. The right option depends on the property, the intended use of the water and how the system will be maintained.</w:t>
      </w:r>
      <w:r>
        <w:rPr>
          <w:rFonts w:ascii="Calibri" w:hAnsi="Calibri" w:cs="Calibri"/>
          <w:sz w:val="22"/>
          <w:szCs w:val="22"/>
        </w:rPr>
        <w:t xml:space="preserve"> </w:t>
      </w:r>
      <w:r w:rsidRPr="00EF47EF">
        <w:rPr>
          <w:rFonts w:ascii="Calibri" w:hAnsi="Calibri" w:cs="Calibri"/>
          <w:sz w:val="22"/>
          <w:szCs w:val="22"/>
        </w:rPr>
        <w:t>CTW cannot certify or recommend a particular treatment system. Customers should obtain independent advice from a qualified water treatment professional before selecting, installing or relying on treatment equipment.</w:t>
      </w:r>
    </w:p>
    <w:p w14:paraId="40B16CD2" w14:textId="77777777" w:rsidR="00EF47EF" w:rsidRPr="00EF47EF" w:rsidRDefault="00EF47EF" w:rsidP="00EF47EF">
      <w:pPr>
        <w:pStyle w:val="Heading2"/>
        <w:spacing w:after="0" w:line="240" w:lineRule="auto"/>
        <w:ind w:right="-188"/>
        <w:rPr>
          <w:rFonts w:ascii="Calibri" w:hAnsi="Calibri" w:cs="Calibri"/>
          <w:b/>
          <w:bCs/>
          <w:color w:val="auto"/>
        </w:rPr>
      </w:pPr>
      <w:r w:rsidRPr="00EF47EF">
        <w:rPr>
          <w:rFonts w:ascii="Calibri" w:hAnsi="Calibri" w:cs="Calibri"/>
          <w:b/>
          <w:bCs/>
          <w:color w:val="auto"/>
        </w:rPr>
        <w:t>Do filters and UV systems work?</w:t>
      </w:r>
    </w:p>
    <w:p w14:paraId="678CFA40" w14:textId="77EB26E4"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Appropriately selected, installed and maintained treatment systems can help manage drinking water quality. However, no system is effective unless it is properly designed for the water source, operated correctly and maintained over time.</w:t>
      </w:r>
      <w:r>
        <w:rPr>
          <w:rFonts w:ascii="Calibri" w:hAnsi="Calibri" w:cs="Calibri"/>
          <w:sz w:val="22"/>
          <w:szCs w:val="22"/>
        </w:rPr>
        <w:t xml:space="preserve"> </w:t>
      </w:r>
      <w:r w:rsidRPr="00EF47EF">
        <w:rPr>
          <w:rFonts w:ascii="Calibri" w:hAnsi="Calibri" w:cs="Calibri"/>
          <w:sz w:val="22"/>
          <w:szCs w:val="22"/>
        </w:rPr>
        <w:t>Customers should seek independent professional advice about the most suitable treatment arrangement for their property.</w:t>
      </w:r>
    </w:p>
    <w:p w14:paraId="2669457D" w14:textId="77777777" w:rsidR="00EF47EF" w:rsidRPr="00EF47EF" w:rsidRDefault="00EF47EF" w:rsidP="00EF47EF">
      <w:pPr>
        <w:pStyle w:val="Heading2"/>
        <w:spacing w:after="0" w:line="240" w:lineRule="auto"/>
        <w:ind w:right="-188"/>
        <w:rPr>
          <w:rFonts w:ascii="Calibri" w:hAnsi="Calibri" w:cs="Calibri"/>
          <w:b/>
          <w:bCs/>
          <w:color w:val="auto"/>
        </w:rPr>
      </w:pPr>
      <w:r w:rsidRPr="00EF47EF">
        <w:rPr>
          <w:rFonts w:ascii="Calibri" w:hAnsi="Calibri" w:cs="Calibri"/>
          <w:b/>
          <w:bCs/>
          <w:color w:val="auto"/>
        </w:rPr>
        <w:t>Can I continue using the water for stock and rural purposes?</w:t>
      </w:r>
    </w:p>
    <w:p w14:paraId="2F9B96E4" w14:textId="77777777"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Yes. The classification change does not prevent the use of water for approved non-potable purposes, including stock watering, garden watering, rural property maintenance and other approved external uses.</w:t>
      </w:r>
    </w:p>
    <w:p w14:paraId="7EF8716E" w14:textId="77777777" w:rsidR="00EF47EF" w:rsidRPr="00EF47EF" w:rsidRDefault="00EF47EF" w:rsidP="00EF47EF">
      <w:pPr>
        <w:pStyle w:val="Heading2"/>
        <w:spacing w:after="0" w:line="240" w:lineRule="auto"/>
        <w:ind w:right="-188"/>
        <w:rPr>
          <w:rFonts w:ascii="Calibri" w:hAnsi="Calibri" w:cs="Calibri"/>
          <w:b/>
          <w:bCs/>
          <w:color w:val="auto"/>
        </w:rPr>
      </w:pPr>
      <w:r w:rsidRPr="00EF47EF">
        <w:rPr>
          <w:rFonts w:ascii="Calibri" w:hAnsi="Calibri" w:cs="Calibri"/>
          <w:b/>
          <w:bCs/>
          <w:color w:val="auto"/>
        </w:rPr>
        <w:t>Am I being disconnected?</w:t>
      </w:r>
    </w:p>
    <w:p w14:paraId="1C24898A" w14:textId="77777777"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No. The policy does not require existing rural customers to be disconnected. The purpose of the policy is to clarify the level of service and water quality classification that applies to rural connections.</w:t>
      </w:r>
    </w:p>
    <w:p w14:paraId="40BD4149" w14:textId="77777777" w:rsidR="00EF47EF" w:rsidRPr="00EF47EF" w:rsidRDefault="00EF47EF" w:rsidP="00EF47EF">
      <w:pPr>
        <w:pStyle w:val="Heading2"/>
        <w:spacing w:after="0" w:line="240" w:lineRule="auto"/>
        <w:ind w:right="-188"/>
        <w:rPr>
          <w:rFonts w:ascii="Calibri" w:hAnsi="Calibri" w:cs="Calibri"/>
          <w:b/>
          <w:bCs/>
          <w:color w:val="auto"/>
        </w:rPr>
      </w:pPr>
      <w:r w:rsidRPr="00EF47EF">
        <w:rPr>
          <w:rFonts w:ascii="Calibri" w:hAnsi="Calibri" w:cs="Calibri"/>
          <w:b/>
          <w:bCs/>
          <w:color w:val="auto"/>
        </w:rPr>
        <w:t>Will my water charges change?</w:t>
      </w:r>
    </w:p>
    <w:p w14:paraId="377E524E" w14:textId="77777777"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No. The reclassification of the service does not change existing water charges or fees.</w:t>
      </w:r>
    </w:p>
    <w:p w14:paraId="04284A70" w14:textId="77777777" w:rsidR="00EF47EF" w:rsidRPr="00EF47EF" w:rsidRDefault="00EF47EF" w:rsidP="00EF47EF">
      <w:pPr>
        <w:pStyle w:val="Heading2"/>
        <w:spacing w:after="0" w:line="240" w:lineRule="auto"/>
        <w:ind w:right="-188"/>
        <w:rPr>
          <w:rFonts w:ascii="Calibri" w:hAnsi="Calibri" w:cs="Calibri"/>
          <w:b/>
          <w:bCs/>
          <w:color w:val="auto"/>
        </w:rPr>
      </w:pPr>
      <w:r w:rsidRPr="00EF47EF">
        <w:rPr>
          <w:rFonts w:ascii="Calibri" w:hAnsi="Calibri" w:cs="Calibri"/>
          <w:b/>
          <w:bCs/>
          <w:color w:val="auto"/>
        </w:rPr>
        <w:t>Why can't CTW provide the same service as it does in town?</w:t>
      </w:r>
    </w:p>
    <w:p w14:paraId="0E75176C" w14:textId="57D4F2C3" w:rsidR="00EF47EF" w:rsidRPr="00EF47EF" w:rsidRDefault="00EF47EF" w:rsidP="00EF47EF">
      <w:pPr>
        <w:spacing w:after="80" w:line="240" w:lineRule="auto"/>
        <w:jc w:val="both"/>
        <w:rPr>
          <w:rFonts w:ascii="Calibri" w:hAnsi="Calibri" w:cs="Calibri"/>
          <w:sz w:val="22"/>
          <w:szCs w:val="22"/>
        </w:rPr>
      </w:pPr>
      <w:r w:rsidRPr="00EF47EF">
        <w:rPr>
          <w:rFonts w:ascii="Calibri" w:hAnsi="Calibri" w:cs="Calibri"/>
          <w:sz w:val="22"/>
          <w:szCs w:val="22"/>
        </w:rPr>
        <w:t>Town and village customers are located within reticulated potable service areas where water quality can be more effectively managed, monitored and verified.</w:t>
      </w:r>
      <w:r>
        <w:rPr>
          <w:rFonts w:ascii="Calibri" w:hAnsi="Calibri" w:cs="Calibri"/>
          <w:sz w:val="22"/>
          <w:szCs w:val="22"/>
        </w:rPr>
        <w:t xml:space="preserve"> </w:t>
      </w:r>
      <w:r w:rsidRPr="00EF47EF">
        <w:rPr>
          <w:rFonts w:ascii="Calibri" w:hAnsi="Calibri" w:cs="Calibri"/>
          <w:sz w:val="22"/>
          <w:szCs w:val="22"/>
        </w:rPr>
        <w:t>Rural customers are often supplied over much greater distances and through lower-demand parts of the network. In some areas or operating conditions, this makes it impractical to provide or verify the same level of drinking water quality assurance available within town and village systems.</w:t>
      </w:r>
    </w:p>
    <w:p w14:paraId="20CC881F" w14:textId="77777777" w:rsidR="00D16069" w:rsidRPr="00875678" w:rsidRDefault="00D16069" w:rsidP="00EF47EF">
      <w:pPr>
        <w:pStyle w:val="Heading2"/>
        <w:spacing w:after="0" w:line="240" w:lineRule="auto"/>
        <w:ind w:right="-188"/>
        <w:rPr>
          <w:rFonts w:ascii="Calibri" w:hAnsi="Calibri" w:cs="Calibri"/>
          <w:b/>
          <w:bCs/>
          <w:color w:val="auto"/>
        </w:rPr>
      </w:pPr>
      <w:r w:rsidRPr="00875678">
        <w:rPr>
          <w:rFonts w:ascii="Calibri" w:hAnsi="Calibri" w:cs="Calibri"/>
          <w:b/>
          <w:bCs/>
          <w:color w:val="auto"/>
        </w:rPr>
        <w:t>Who can I contact for more information?</w:t>
      </w:r>
    </w:p>
    <w:p w14:paraId="4102B09A" w14:textId="2DAC64D5" w:rsidR="00D16069" w:rsidRPr="00E04CC9" w:rsidRDefault="00D16069" w:rsidP="00D03E2C">
      <w:pPr>
        <w:spacing w:after="0" w:line="240" w:lineRule="auto"/>
        <w:jc w:val="both"/>
        <w:rPr>
          <w:rFonts w:ascii="Calibri" w:hAnsi="Calibri" w:cs="Calibri"/>
          <w:sz w:val="22"/>
          <w:szCs w:val="22"/>
        </w:rPr>
      </w:pPr>
      <w:r w:rsidRPr="00E04CC9">
        <w:rPr>
          <w:rFonts w:ascii="Calibri" w:hAnsi="Calibri" w:cs="Calibri"/>
          <w:sz w:val="22"/>
          <w:szCs w:val="22"/>
        </w:rPr>
        <w:t>If you have questions about your rural water supply, please contact</w:t>
      </w:r>
      <w:r w:rsidR="00D03E2C">
        <w:rPr>
          <w:rFonts w:ascii="Calibri" w:hAnsi="Calibri" w:cs="Calibri"/>
          <w:sz w:val="22"/>
          <w:szCs w:val="22"/>
        </w:rPr>
        <w:t xml:space="preserve"> </w:t>
      </w:r>
      <w:r w:rsidRPr="00E04CC9">
        <w:rPr>
          <w:rFonts w:ascii="Calibri" w:hAnsi="Calibri" w:cs="Calibri"/>
          <w:sz w:val="22"/>
          <w:szCs w:val="22"/>
        </w:rPr>
        <w:t>Central Tablelands Water</w:t>
      </w:r>
      <w:r w:rsidR="00D03E2C">
        <w:rPr>
          <w:rFonts w:ascii="Calibri" w:hAnsi="Calibri" w:cs="Calibri"/>
          <w:sz w:val="22"/>
          <w:szCs w:val="22"/>
        </w:rPr>
        <w:t xml:space="preserve"> on</w:t>
      </w:r>
      <w:r w:rsidRPr="00E04CC9">
        <w:rPr>
          <w:rFonts w:ascii="Calibri" w:hAnsi="Calibri" w:cs="Calibri"/>
          <w:sz w:val="22"/>
          <w:szCs w:val="22"/>
        </w:rPr>
        <w:t xml:space="preserve"> </w:t>
      </w:r>
      <w:r w:rsidR="00D03E2C">
        <w:rPr>
          <w:rFonts w:ascii="Calibri" w:hAnsi="Calibri" w:cs="Calibri"/>
          <w:sz w:val="22"/>
          <w:szCs w:val="22"/>
        </w:rPr>
        <w:br/>
      </w:r>
      <w:r w:rsidRPr="00E04CC9">
        <w:rPr>
          <w:rFonts w:ascii="Calibri" w:hAnsi="Calibri" w:cs="Calibri"/>
          <w:sz w:val="22"/>
          <w:szCs w:val="22"/>
        </w:rPr>
        <w:t>(02) 6391 7200</w:t>
      </w:r>
      <w:r w:rsidR="00D03E2C">
        <w:rPr>
          <w:rFonts w:ascii="Calibri" w:hAnsi="Calibri" w:cs="Calibri"/>
          <w:sz w:val="22"/>
          <w:szCs w:val="22"/>
        </w:rPr>
        <w:t xml:space="preserve"> or </w:t>
      </w:r>
      <w:hyperlink r:id="rId10" w:history="1">
        <w:r w:rsidR="00D03E2C" w:rsidRPr="006D2BFA">
          <w:rPr>
            <w:rStyle w:val="Hyperlink"/>
            <w:rFonts w:ascii="Calibri" w:hAnsi="Calibri" w:cs="Calibri"/>
            <w:sz w:val="22"/>
            <w:szCs w:val="22"/>
          </w:rPr>
          <w:t>water@ctw.nsw.gov.au</w:t>
        </w:r>
      </w:hyperlink>
      <w:r w:rsidR="00D03E2C">
        <w:rPr>
          <w:rFonts w:ascii="Calibri" w:hAnsi="Calibri" w:cs="Calibri"/>
          <w:sz w:val="22"/>
          <w:szCs w:val="22"/>
        </w:rPr>
        <w:t xml:space="preserve"> </w:t>
      </w:r>
    </w:p>
    <w:p w14:paraId="032BC324" w14:textId="77777777" w:rsidR="00D16069" w:rsidRPr="00D16069" w:rsidRDefault="00D16069" w:rsidP="00D16069">
      <w:pPr>
        <w:spacing w:after="0" w:line="240" w:lineRule="auto"/>
        <w:jc w:val="both"/>
        <w:rPr>
          <w:rFonts w:ascii="Calibri" w:hAnsi="Calibri" w:cs="Calibri"/>
          <w:sz w:val="22"/>
          <w:szCs w:val="22"/>
        </w:rPr>
      </w:pPr>
    </w:p>
    <w:sectPr w:rsidR="00D16069" w:rsidRPr="00D16069" w:rsidSect="00EF47EF">
      <w:headerReference w:type="default" r:id="rId11"/>
      <w:footerReference w:type="default" r:id="rId12"/>
      <w:pgSz w:w="11906" w:h="16838" w:code="9"/>
      <w:pgMar w:top="1440" w:right="1440" w:bottom="851" w:left="1440"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5BBC3" w14:textId="77777777" w:rsidR="008816E6" w:rsidRDefault="008816E6" w:rsidP="007E39EE">
      <w:pPr>
        <w:spacing w:after="0" w:line="240" w:lineRule="auto"/>
      </w:pPr>
      <w:r>
        <w:separator/>
      </w:r>
    </w:p>
  </w:endnote>
  <w:endnote w:type="continuationSeparator" w:id="0">
    <w:p w14:paraId="074EFE78" w14:textId="77777777" w:rsidR="008816E6" w:rsidRDefault="008816E6" w:rsidP="007E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0"/>
        <w:szCs w:val="20"/>
      </w:rPr>
      <w:id w:val="280460087"/>
      <w:docPartObj>
        <w:docPartGallery w:val="Page Numbers (Bottom of Page)"/>
        <w:docPartUnique/>
      </w:docPartObj>
    </w:sdtPr>
    <w:sdtEndPr/>
    <w:sdtContent>
      <w:sdt>
        <w:sdtPr>
          <w:rPr>
            <w:rFonts w:ascii="Calibri" w:hAnsi="Calibri" w:cs="Calibri"/>
            <w:sz w:val="20"/>
            <w:szCs w:val="20"/>
          </w:rPr>
          <w:id w:val="-1769616900"/>
          <w:docPartObj>
            <w:docPartGallery w:val="Page Numbers (Top of Page)"/>
            <w:docPartUnique/>
          </w:docPartObj>
        </w:sdtPr>
        <w:sdtEndPr/>
        <w:sdtContent>
          <w:p w14:paraId="1A232DE0" w14:textId="58FB4D35" w:rsidR="007E39EE" w:rsidRPr="007E39EE" w:rsidRDefault="00CD456C" w:rsidP="003D793B">
            <w:pPr>
              <w:pStyle w:val="Footer"/>
              <w:pBdr>
                <w:top w:val="dashSmallGap" w:sz="2" w:space="1" w:color="auto"/>
              </w:pBdr>
              <w:rPr>
                <w:rFonts w:ascii="Calibri" w:hAnsi="Calibri" w:cs="Calibri"/>
                <w:sz w:val="20"/>
                <w:szCs w:val="20"/>
              </w:rPr>
            </w:pPr>
            <w:r>
              <w:rPr>
                <w:rFonts w:ascii="Calibri" w:hAnsi="Calibri" w:cs="Calibri"/>
                <w:sz w:val="20"/>
                <w:szCs w:val="20"/>
              </w:rPr>
              <w:t>Central Tablelands Water, 30 Church Street, Blayney</w:t>
            </w:r>
            <w:r w:rsidR="00EF47EF">
              <w:rPr>
                <w:rFonts w:ascii="Calibri" w:hAnsi="Calibri" w:cs="Calibri"/>
                <w:sz w:val="20"/>
                <w:szCs w:val="20"/>
              </w:rPr>
              <w:t xml:space="preserve"> NSW 2799</w:t>
            </w:r>
            <w:r w:rsidR="003D793B">
              <w:rPr>
                <w:rFonts w:ascii="Calibri" w:hAnsi="Calibri" w:cs="Calibri"/>
                <w:sz w:val="20"/>
                <w:szCs w:val="20"/>
              </w:rPr>
              <w:tab/>
            </w:r>
            <w:r w:rsidR="00EF47EF">
              <w:rPr>
                <w:rFonts w:ascii="Calibri" w:hAnsi="Calibri" w:cs="Calibri"/>
                <w:sz w:val="20"/>
                <w:szCs w:val="20"/>
              </w:rPr>
              <w:br/>
              <w:t xml:space="preserve">Ph: (02) 6391 7200     Email: </w:t>
            </w:r>
            <w:hyperlink r:id="rId1" w:history="1">
              <w:r w:rsidR="00EF47EF" w:rsidRPr="00855A36">
                <w:rPr>
                  <w:rStyle w:val="Hyperlink"/>
                  <w:rFonts w:ascii="Calibri" w:hAnsi="Calibri" w:cs="Calibri"/>
                  <w:sz w:val="20"/>
                  <w:szCs w:val="20"/>
                </w:rPr>
                <w:t>water@ctw.nsw.gov.au</w:t>
              </w:r>
            </w:hyperlink>
            <w:r w:rsidR="00EF47EF">
              <w:rPr>
                <w:rFonts w:ascii="Calibri" w:hAnsi="Calibri" w:cs="Calibri"/>
                <w:sz w:val="20"/>
                <w:szCs w:val="20"/>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5B45B" w14:textId="77777777" w:rsidR="008816E6" w:rsidRDefault="008816E6" w:rsidP="007E39EE">
      <w:pPr>
        <w:spacing w:after="0" w:line="240" w:lineRule="auto"/>
      </w:pPr>
      <w:r>
        <w:separator/>
      </w:r>
    </w:p>
  </w:footnote>
  <w:footnote w:type="continuationSeparator" w:id="0">
    <w:p w14:paraId="59FBF4CF" w14:textId="77777777" w:rsidR="008816E6" w:rsidRDefault="008816E6" w:rsidP="007E3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C48B4" w14:textId="1A386A1F" w:rsidR="001A3A09" w:rsidRPr="001A3A09" w:rsidRDefault="001A3A09" w:rsidP="001A3A09">
    <w:pPr>
      <w:pStyle w:val="Header"/>
      <w:jc w:val="right"/>
      <w:rPr>
        <w:rFonts w:ascii="Calibri" w:hAnsi="Calibri" w:cs="Calibri"/>
        <w:lang w:val="en-US"/>
      </w:rPr>
    </w:pPr>
    <w:r>
      <w:rPr>
        <w:rFonts w:ascii="Calibri" w:hAnsi="Calibri" w:cs="Calibri"/>
        <w:b/>
        <w:bCs/>
        <w:noProof/>
        <w:sz w:val="22"/>
        <w:szCs w:val="22"/>
      </w:rPr>
      <w:drawing>
        <wp:anchor distT="0" distB="0" distL="114300" distR="114300" simplePos="0" relativeHeight="251659264" behindDoc="0" locked="0" layoutInCell="1" allowOverlap="1" wp14:anchorId="014BF5B7" wp14:editId="7C0B3CA1">
          <wp:simplePos x="0" y="0"/>
          <wp:positionH relativeFrom="margin">
            <wp:align>left</wp:align>
          </wp:positionH>
          <wp:positionV relativeFrom="paragraph">
            <wp:posOffset>-308345</wp:posOffset>
          </wp:positionV>
          <wp:extent cx="1509823" cy="754912"/>
          <wp:effectExtent l="0" t="0" r="0" b="7620"/>
          <wp:wrapNone/>
          <wp:docPr id="2047872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72783" name="Picture 2047872783"/>
                  <pic:cNvPicPr/>
                </pic:nvPicPr>
                <pic:blipFill>
                  <a:blip r:embed="rId1">
                    <a:extLst>
                      <a:ext uri="{28A0092B-C50C-407E-A947-70E740481C1C}">
                        <a14:useLocalDpi xmlns:a14="http://schemas.microsoft.com/office/drawing/2010/main" val="0"/>
                      </a:ext>
                    </a:extLst>
                  </a:blip>
                  <a:stretch>
                    <a:fillRect/>
                  </a:stretch>
                </pic:blipFill>
                <pic:spPr>
                  <a:xfrm>
                    <a:off x="0" y="0"/>
                    <a:ext cx="1509823" cy="754912"/>
                  </a:xfrm>
                  <a:prstGeom prst="rect">
                    <a:avLst/>
                  </a:prstGeom>
                </pic:spPr>
              </pic:pic>
            </a:graphicData>
          </a:graphic>
          <wp14:sizeRelH relativeFrom="page">
            <wp14:pctWidth>0</wp14:pctWidth>
          </wp14:sizeRelH>
          <wp14:sizeRelV relativeFrom="page">
            <wp14:pctHeight>0</wp14:pctHeight>
          </wp14:sizeRelV>
        </wp:anchor>
      </w:drawing>
    </w:r>
    <w:r w:rsidRPr="001A3A09">
      <w:rPr>
        <w:rFonts w:ascii="Calibri" w:hAnsi="Calibri" w:cs="Calibri"/>
        <w:lang w:val="en-US"/>
      </w:rPr>
      <w:t>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606C0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D56007"/>
    <w:multiLevelType w:val="multilevel"/>
    <w:tmpl w:val="76CC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A34AB"/>
    <w:multiLevelType w:val="multilevel"/>
    <w:tmpl w:val="852E9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D41EEB"/>
    <w:multiLevelType w:val="multilevel"/>
    <w:tmpl w:val="980C7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64B537"/>
    <w:multiLevelType w:val="hybridMultilevel"/>
    <w:tmpl w:val="6088CE10"/>
    <w:lvl w:ilvl="0" w:tplc="DD4E7DAE">
      <w:start w:val="1"/>
      <w:numFmt w:val="bullet"/>
      <w:lvlText w:val=""/>
      <w:lvlJc w:val="left"/>
      <w:pPr>
        <w:ind w:left="720" w:hanging="360"/>
      </w:pPr>
      <w:rPr>
        <w:rFonts w:ascii="Symbol" w:hAnsi="Symbol" w:hint="default"/>
      </w:rPr>
    </w:lvl>
    <w:lvl w:ilvl="1" w:tplc="DE1EDA4A">
      <w:start w:val="1"/>
      <w:numFmt w:val="bullet"/>
      <w:lvlText w:val="o"/>
      <w:lvlJc w:val="left"/>
      <w:pPr>
        <w:ind w:left="1440" w:hanging="360"/>
      </w:pPr>
      <w:rPr>
        <w:rFonts w:ascii="Courier New" w:hAnsi="Courier New" w:hint="default"/>
      </w:rPr>
    </w:lvl>
    <w:lvl w:ilvl="2" w:tplc="D2E0949E">
      <w:start w:val="1"/>
      <w:numFmt w:val="bullet"/>
      <w:lvlText w:val=""/>
      <w:lvlJc w:val="left"/>
      <w:pPr>
        <w:ind w:left="2160" w:hanging="360"/>
      </w:pPr>
      <w:rPr>
        <w:rFonts w:ascii="Wingdings" w:hAnsi="Wingdings" w:hint="default"/>
      </w:rPr>
    </w:lvl>
    <w:lvl w:ilvl="3" w:tplc="14D80646">
      <w:start w:val="1"/>
      <w:numFmt w:val="bullet"/>
      <w:lvlText w:val=""/>
      <w:lvlJc w:val="left"/>
      <w:pPr>
        <w:ind w:left="2880" w:hanging="360"/>
      </w:pPr>
      <w:rPr>
        <w:rFonts w:ascii="Symbol" w:hAnsi="Symbol" w:hint="default"/>
      </w:rPr>
    </w:lvl>
    <w:lvl w:ilvl="4" w:tplc="EF481E82">
      <w:start w:val="1"/>
      <w:numFmt w:val="bullet"/>
      <w:lvlText w:val="o"/>
      <w:lvlJc w:val="left"/>
      <w:pPr>
        <w:ind w:left="3600" w:hanging="360"/>
      </w:pPr>
      <w:rPr>
        <w:rFonts w:ascii="Courier New" w:hAnsi="Courier New" w:hint="default"/>
      </w:rPr>
    </w:lvl>
    <w:lvl w:ilvl="5" w:tplc="C100C482">
      <w:start w:val="1"/>
      <w:numFmt w:val="bullet"/>
      <w:lvlText w:val=""/>
      <w:lvlJc w:val="left"/>
      <w:pPr>
        <w:ind w:left="4320" w:hanging="360"/>
      </w:pPr>
      <w:rPr>
        <w:rFonts w:ascii="Wingdings" w:hAnsi="Wingdings" w:hint="default"/>
      </w:rPr>
    </w:lvl>
    <w:lvl w:ilvl="6" w:tplc="4D181CA2">
      <w:start w:val="1"/>
      <w:numFmt w:val="bullet"/>
      <w:lvlText w:val=""/>
      <w:lvlJc w:val="left"/>
      <w:pPr>
        <w:ind w:left="5040" w:hanging="360"/>
      </w:pPr>
      <w:rPr>
        <w:rFonts w:ascii="Symbol" w:hAnsi="Symbol" w:hint="default"/>
      </w:rPr>
    </w:lvl>
    <w:lvl w:ilvl="7" w:tplc="D200EC36">
      <w:start w:val="1"/>
      <w:numFmt w:val="bullet"/>
      <w:lvlText w:val="o"/>
      <w:lvlJc w:val="left"/>
      <w:pPr>
        <w:ind w:left="5760" w:hanging="360"/>
      </w:pPr>
      <w:rPr>
        <w:rFonts w:ascii="Courier New" w:hAnsi="Courier New" w:hint="default"/>
      </w:rPr>
    </w:lvl>
    <w:lvl w:ilvl="8" w:tplc="5A60B28E">
      <w:start w:val="1"/>
      <w:numFmt w:val="bullet"/>
      <w:lvlText w:val=""/>
      <w:lvlJc w:val="left"/>
      <w:pPr>
        <w:ind w:left="6480" w:hanging="360"/>
      </w:pPr>
      <w:rPr>
        <w:rFonts w:ascii="Wingdings" w:hAnsi="Wingdings" w:hint="default"/>
      </w:rPr>
    </w:lvl>
  </w:abstractNum>
  <w:abstractNum w:abstractNumId="5" w15:restartNumberingAfterBreak="0">
    <w:nsid w:val="443616CF"/>
    <w:multiLevelType w:val="hybridMultilevel"/>
    <w:tmpl w:val="5D7007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AA65B29"/>
    <w:multiLevelType w:val="multilevel"/>
    <w:tmpl w:val="F26E0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284605"/>
    <w:multiLevelType w:val="multilevel"/>
    <w:tmpl w:val="CC04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5349761">
    <w:abstractNumId w:val="4"/>
  </w:num>
  <w:num w:numId="2" w16cid:durableId="1946228361">
    <w:abstractNumId w:val="5"/>
  </w:num>
  <w:num w:numId="3" w16cid:durableId="1185022369">
    <w:abstractNumId w:val="7"/>
  </w:num>
  <w:num w:numId="4" w16cid:durableId="1648630632">
    <w:abstractNumId w:val="2"/>
  </w:num>
  <w:num w:numId="5" w16cid:durableId="1027216997">
    <w:abstractNumId w:val="3"/>
  </w:num>
  <w:num w:numId="6" w16cid:durableId="808978649">
    <w:abstractNumId w:val="6"/>
  </w:num>
  <w:num w:numId="7" w16cid:durableId="1930312005">
    <w:abstractNumId w:val="1"/>
  </w:num>
  <w:num w:numId="8" w16cid:durableId="939870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381E32"/>
    <w:rsid w:val="00013F04"/>
    <w:rsid w:val="00050A90"/>
    <w:rsid w:val="000820DE"/>
    <w:rsid w:val="00090F38"/>
    <w:rsid w:val="000B0597"/>
    <w:rsid w:val="00103871"/>
    <w:rsid w:val="00193969"/>
    <w:rsid w:val="001A1B99"/>
    <w:rsid w:val="001A3A09"/>
    <w:rsid w:val="002220DC"/>
    <w:rsid w:val="00297432"/>
    <w:rsid w:val="003167AC"/>
    <w:rsid w:val="00316F6B"/>
    <w:rsid w:val="003B03D5"/>
    <w:rsid w:val="003D339E"/>
    <w:rsid w:val="003D793B"/>
    <w:rsid w:val="003E4B88"/>
    <w:rsid w:val="00486DA8"/>
    <w:rsid w:val="004C4AC2"/>
    <w:rsid w:val="004E583B"/>
    <w:rsid w:val="005625BD"/>
    <w:rsid w:val="005836CD"/>
    <w:rsid w:val="00621264"/>
    <w:rsid w:val="0064683F"/>
    <w:rsid w:val="006562CB"/>
    <w:rsid w:val="007216F9"/>
    <w:rsid w:val="00726541"/>
    <w:rsid w:val="00733EBF"/>
    <w:rsid w:val="00780A67"/>
    <w:rsid w:val="007A70AA"/>
    <w:rsid w:val="007CDE55"/>
    <w:rsid w:val="007E39EE"/>
    <w:rsid w:val="008816E6"/>
    <w:rsid w:val="0090056F"/>
    <w:rsid w:val="009B53D7"/>
    <w:rsid w:val="00A40B5F"/>
    <w:rsid w:val="00A64CDB"/>
    <w:rsid w:val="00A66DAA"/>
    <w:rsid w:val="00A94FCC"/>
    <w:rsid w:val="00AC2428"/>
    <w:rsid w:val="00AF6943"/>
    <w:rsid w:val="00B104CC"/>
    <w:rsid w:val="00B86CF2"/>
    <w:rsid w:val="00BE6D36"/>
    <w:rsid w:val="00BF55C0"/>
    <w:rsid w:val="00BF7059"/>
    <w:rsid w:val="00C850E4"/>
    <w:rsid w:val="00CD456C"/>
    <w:rsid w:val="00D03E2C"/>
    <w:rsid w:val="00D16069"/>
    <w:rsid w:val="00DA64E5"/>
    <w:rsid w:val="00DB212B"/>
    <w:rsid w:val="00E15BD7"/>
    <w:rsid w:val="00E640CB"/>
    <w:rsid w:val="00E66824"/>
    <w:rsid w:val="00ED3E4B"/>
    <w:rsid w:val="00EF47EF"/>
    <w:rsid w:val="00F72564"/>
    <w:rsid w:val="00FA12E1"/>
    <w:rsid w:val="00FB68FF"/>
    <w:rsid w:val="00FE732A"/>
    <w:rsid w:val="00FF20D7"/>
    <w:rsid w:val="03DC49C4"/>
    <w:rsid w:val="0723D3E1"/>
    <w:rsid w:val="07F5E09C"/>
    <w:rsid w:val="08675073"/>
    <w:rsid w:val="09132F65"/>
    <w:rsid w:val="0A847D85"/>
    <w:rsid w:val="0ADE0231"/>
    <w:rsid w:val="0D3863A8"/>
    <w:rsid w:val="0D4263C5"/>
    <w:rsid w:val="0DDD23E3"/>
    <w:rsid w:val="0DE20002"/>
    <w:rsid w:val="0E30124A"/>
    <w:rsid w:val="0EE78E6C"/>
    <w:rsid w:val="10E54D4D"/>
    <w:rsid w:val="11D3D27C"/>
    <w:rsid w:val="12088BE8"/>
    <w:rsid w:val="12200772"/>
    <w:rsid w:val="1294F1DE"/>
    <w:rsid w:val="12C27B49"/>
    <w:rsid w:val="13515AA6"/>
    <w:rsid w:val="168114D7"/>
    <w:rsid w:val="16870737"/>
    <w:rsid w:val="16D257CF"/>
    <w:rsid w:val="17545C8A"/>
    <w:rsid w:val="17795F39"/>
    <w:rsid w:val="17C5A08A"/>
    <w:rsid w:val="1BFA1200"/>
    <w:rsid w:val="1F359F48"/>
    <w:rsid w:val="1FB5C472"/>
    <w:rsid w:val="21947784"/>
    <w:rsid w:val="227F38EB"/>
    <w:rsid w:val="233DEA36"/>
    <w:rsid w:val="23780A96"/>
    <w:rsid w:val="29672995"/>
    <w:rsid w:val="2A69C504"/>
    <w:rsid w:val="2AA05124"/>
    <w:rsid w:val="2B4B15D9"/>
    <w:rsid w:val="2D159C55"/>
    <w:rsid w:val="2D7AE369"/>
    <w:rsid w:val="2DA6DC78"/>
    <w:rsid w:val="2EE5C9DC"/>
    <w:rsid w:val="3174AF9C"/>
    <w:rsid w:val="325BC199"/>
    <w:rsid w:val="33842C9D"/>
    <w:rsid w:val="33EED74F"/>
    <w:rsid w:val="346B58B6"/>
    <w:rsid w:val="357BBF4D"/>
    <w:rsid w:val="35C30A8D"/>
    <w:rsid w:val="36A24F03"/>
    <w:rsid w:val="37D269F5"/>
    <w:rsid w:val="37E93D59"/>
    <w:rsid w:val="39616E95"/>
    <w:rsid w:val="3AF35FF4"/>
    <w:rsid w:val="3B74BF8B"/>
    <w:rsid w:val="3BF4A871"/>
    <w:rsid w:val="3CCEB62C"/>
    <w:rsid w:val="3CF08E16"/>
    <w:rsid w:val="3DB76E31"/>
    <w:rsid w:val="3EA59E04"/>
    <w:rsid w:val="3FEC9319"/>
    <w:rsid w:val="40182CA1"/>
    <w:rsid w:val="40502005"/>
    <w:rsid w:val="4077BC23"/>
    <w:rsid w:val="4140E489"/>
    <w:rsid w:val="41DB1DA4"/>
    <w:rsid w:val="42AF9285"/>
    <w:rsid w:val="44BCBF66"/>
    <w:rsid w:val="45126B11"/>
    <w:rsid w:val="4693781D"/>
    <w:rsid w:val="46A6D1DB"/>
    <w:rsid w:val="479E1EEA"/>
    <w:rsid w:val="47A4B96D"/>
    <w:rsid w:val="4A4DF420"/>
    <w:rsid w:val="4C089F13"/>
    <w:rsid w:val="4D525E22"/>
    <w:rsid w:val="4DAD2E39"/>
    <w:rsid w:val="4E785E30"/>
    <w:rsid w:val="4F93A1AF"/>
    <w:rsid w:val="50FD2657"/>
    <w:rsid w:val="51FFF579"/>
    <w:rsid w:val="53315B27"/>
    <w:rsid w:val="53EB9DE1"/>
    <w:rsid w:val="542536C4"/>
    <w:rsid w:val="549AD4C2"/>
    <w:rsid w:val="55A289F8"/>
    <w:rsid w:val="55CC346F"/>
    <w:rsid w:val="55E33401"/>
    <w:rsid w:val="5631AFD8"/>
    <w:rsid w:val="56EFF7B0"/>
    <w:rsid w:val="574044D7"/>
    <w:rsid w:val="5765555D"/>
    <w:rsid w:val="5A4543CA"/>
    <w:rsid w:val="5BEFE982"/>
    <w:rsid w:val="5C863B9C"/>
    <w:rsid w:val="5D46CA30"/>
    <w:rsid w:val="5E5464ED"/>
    <w:rsid w:val="5F850F76"/>
    <w:rsid w:val="615C0215"/>
    <w:rsid w:val="61E73E5A"/>
    <w:rsid w:val="620F7774"/>
    <w:rsid w:val="655EAFEC"/>
    <w:rsid w:val="65FB5CC3"/>
    <w:rsid w:val="661C2484"/>
    <w:rsid w:val="67185353"/>
    <w:rsid w:val="6813D2A9"/>
    <w:rsid w:val="68C07FBD"/>
    <w:rsid w:val="69B4A175"/>
    <w:rsid w:val="6BD00FCB"/>
    <w:rsid w:val="6BE1B032"/>
    <w:rsid w:val="6C381E32"/>
    <w:rsid w:val="6CD08B77"/>
    <w:rsid w:val="6D498A9E"/>
    <w:rsid w:val="6FE02E7A"/>
    <w:rsid w:val="716A2369"/>
    <w:rsid w:val="722A21FD"/>
    <w:rsid w:val="7286A0C1"/>
    <w:rsid w:val="74C0AD81"/>
    <w:rsid w:val="761AE71C"/>
    <w:rsid w:val="7796C992"/>
    <w:rsid w:val="78DB5776"/>
    <w:rsid w:val="7977B88C"/>
    <w:rsid w:val="7A7F2184"/>
    <w:rsid w:val="7BD94601"/>
    <w:rsid w:val="7CAC53C8"/>
    <w:rsid w:val="7CDD2471"/>
    <w:rsid w:val="7EC976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9498D"/>
  <w15:chartTrackingRefBased/>
  <w15:docId w15:val="{5297515E-F0AB-4541-ADEC-5CAA5716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B88"/>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41DB1D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41DB1DA4"/>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5C30A8D"/>
    <w:pPr>
      <w:ind w:left="720"/>
      <w:contextualSpacing/>
    </w:pPr>
  </w:style>
  <w:style w:type="character" w:styleId="Hyperlink">
    <w:name w:val="Hyperlink"/>
    <w:basedOn w:val="DefaultParagraphFont"/>
    <w:uiPriority w:val="99"/>
    <w:unhideWhenUsed/>
    <w:rsid w:val="17795F39"/>
    <w:rPr>
      <w:color w:val="467886"/>
      <w:u w:val="single"/>
    </w:rPr>
  </w:style>
  <w:style w:type="paragraph" w:styleId="Revision">
    <w:name w:val="Revision"/>
    <w:hidden/>
    <w:uiPriority w:val="99"/>
    <w:semiHidden/>
    <w:rsid w:val="00FF20D7"/>
    <w:pPr>
      <w:spacing w:after="0" w:line="240" w:lineRule="auto"/>
    </w:pPr>
  </w:style>
  <w:style w:type="character" w:customStyle="1" w:styleId="Heading1Char">
    <w:name w:val="Heading 1 Char"/>
    <w:basedOn w:val="DefaultParagraphFont"/>
    <w:link w:val="Heading1"/>
    <w:uiPriority w:val="9"/>
    <w:rsid w:val="003E4B88"/>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E640CB"/>
    <w:rPr>
      <w:rFonts w:asciiTheme="majorHAnsi" w:eastAsiaTheme="majorEastAsia" w:hAnsiTheme="majorHAnsi" w:cstheme="majorBidi"/>
      <w:color w:val="0F4761" w:themeColor="accent1" w:themeShade="BF"/>
      <w:sz w:val="32"/>
      <w:szCs w:val="32"/>
    </w:rPr>
  </w:style>
  <w:style w:type="character" w:styleId="FollowedHyperlink">
    <w:name w:val="FollowedHyperlink"/>
    <w:basedOn w:val="DefaultParagraphFont"/>
    <w:uiPriority w:val="99"/>
    <w:semiHidden/>
    <w:unhideWhenUsed/>
    <w:rsid w:val="00E640CB"/>
    <w:rPr>
      <w:color w:val="96607D" w:themeColor="followedHyperlink"/>
      <w:u w:val="single"/>
    </w:rPr>
  </w:style>
  <w:style w:type="character" w:styleId="UnresolvedMention">
    <w:name w:val="Unresolved Mention"/>
    <w:basedOn w:val="DefaultParagraphFont"/>
    <w:uiPriority w:val="99"/>
    <w:semiHidden/>
    <w:unhideWhenUsed/>
    <w:rsid w:val="00D03E2C"/>
    <w:rPr>
      <w:color w:val="605E5C"/>
      <w:shd w:val="clear" w:color="auto" w:fill="E1DFDD"/>
    </w:rPr>
  </w:style>
  <w:style w:type="paragraph" w:styleId="Header">
    <w:name w:val="header"/>
    <w:basedOn w:val="Normal"/>
    <w:link w:val="HeaderChar"/>
    <w:uiPriority w:val="99"/>
    <w:unhideWhenUsed/>
    <w:rsid w:val="007E39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9EE"/>
  </w:style>
  <w:style w:type="paragraph" w:styleId="Footer">
    <w:name w:val="footer"/>
    <w:basedOn w:val="Normal"/>
    <w:link w:val="FooterChar"/>
    <w:uiPriority w:val="99"/>
    <w:unhideWhenUsed/>
    <w:rsid w:val="007E39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9EE"/>
  </w:style>
  <w:style w:type="paragraph" w:styleId="ListBullet">
    <w:name w:val="List Bullet"/>
    <w:basedOn w:val="Normal"/>
    <w:uiPriority w:val="99"/>
    <w:unhideWhenUsed/>
    <w:rsid w:val="00BF55C0"/>
    <w:pPr>
      <w:numPr>
        <w:numId w:val="8"/>
      </w:numPr>
      <w:tabs>
        <w:tab w:val="clear" w:pos="360"/>
      </w:tabs>
      <w:spacing w:after="120" w:line="259" w:lineRule="auto"/>
      <w:ind w:left="0" w:firstLine="0"/>
      <w:contextualSpacing/>
    </w:pPr>
    <w:rPr>
      <w:rFonts w:ascii="Aptos" w:eastAsia="Aptos" w:hAnsi="Aptos"/>
      <w:color w:val="202020"/>
      <w:sz w:val="21"/>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water@ctw.nsw.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water@ctw.nsw.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fe7831-ecff-44a0-baec-52861aed64ed">
      <Terms xmlns="http://schemas.microsoft.com/office/infopath/2007/PartnerControls"/>
    </lcf76f155ced4ddcb4097134ff3c332f>
    <TaxCatchAll xmlns="49a25602-b59c-4202-8fa7-a7f133b9d0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F6FD94EFAC604185ED14FD568F83CB" ma:contentTypeVersion="17" ma:contentTypeDescription="Create a new document." ma:contentTypeScope="" ma:versionID="3bacfc3e530889e75b7ef0d8caaa2b1d">
  <xsd:schema xmlns:xsd="http://www.w3.org/2001/XMLSchema" xmlns:xs="http://www.w3.org/2001/XMLSchema" xmlns:p="http://schemas.microsoft.com/office/2006/metadata/properties" xmlns:ns2="60fe7831-ecff-44a0-baec-52861aed64ed" xmlns:ns3="49a25602-b59c-4202-8fa7-a7f133b9d0c0" targetNamespace="http://schemas.microsoft.com/office/2006/metadata/properties" ma:root="true" ma:fieldsID="ec73ddadaa8589ad189f318f09d116d4" ns2:_="" ns3:_="">
    <xsd:import namespace="60fe7831-ecff-44a0-baec-52861aed64ed"/>
    <xsd:import namespace="49a25602-b59c-4202-8fa7-a7f133b9d0c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fe7831-ecff-44a0-baec-52861aed64e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ae03653-ca4c-4918-a5f9-9e2c7eb6465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a25602-b59c-4202-8fa7-a7f133b9d0c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b5d01cf-e809-425b-a40a-68c97dd6e065}" ma:internalName="TaxCatchAll" ma:showField="CatchAllData" ma:web="49a25602-b59c-4202-8fa7-a7f133b9d0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245990-914E-46EE-BAB6-F60BE211C0F4}">
  <ds:schemaRefs>
    <ds:schemaRef ds:uri="http://schemas.microsoft.com/office/2006/metadata/properties"/>
    <ds:schemaRef ds:uri="http://schemas.microsoft.com/office/infopath/2007/PartnerControls"/>
    <ds:schemaRef ds:uri="60fe7831-ecff-44a0-baec-52861aed64ed"/>
    <ds:schemaRef ds:uri="49a25602-b59c-4202-8fa7-a7f133b9d0c0"/>
  </ds:schemaRefs>
</ds:datastoreItem>
</file>

<file path=customXml/itemProps2.xml><?xml version="1.0" encoding="utf-8"?>
<ds:datastoreItem xmlns:ds="http://schemas.openxmlformats.org/officeDocument/2006/customXml" ds:itemID="{563387B8-1A06-47E8-84B4-57279E540F85}">
  <ds:schemaRefs>
    <ds:schemaRef ds:uri="http://schemas.microsoft.com/sharepoint/v3/contenttype/forms"/>
  </ds:schemaRefs>
</ds:datastoreItem>
</file>

<file path=customXml/itemProps3.xml><?xml version="1.0" encoding="utf-8"?>
<ds:datastoreItem xmlns:ds="http://schemas.openxmlformats.org/officeDocument/2006/customXml" ds:itemID="{41927AE2-1413-4598-BEAD-C383EE750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fe7831-ecff-44a0-baec-52861aed64ed"/>
    <ds:schemaRef ds:uri="49a25602-b59c-4202-8fa7-a7f133b9d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1050</Words>
  <Characters>6011</Characters>
  <Application>Microsoft Office Word</Application>
  <DocSecurity>0</DocSecurity>
  <Lines>87</Lines>
  <Paragraphs>39</Paragraphs>
  <ScaleCrop>false</ScaleCrop>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Skelly</dc:creator>
  <cp:keywords/>
  <dc:description/>
  <cp:lastModifiedBy>Achal Deo</cp:lastModifiedBy>
  <cp:revision>2</cp:revision>
  <cp:lastPrinted>2026-08-07T02:55:00Z</cp:lastPrinted>
  <dcterms:created xsi:type="dcterms:W3CDTF">2026-08-17T03:27:00Z</dcterms:created>
  <dcterms:modified xsi:type="dcterms:W3CDTF">2026-08-17T03:27:00Z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0x01010076F6FD94EFAC604185ED14FD568F83CB</vt:lpwstr>
  </property>
  <property fmtid="{D5CDD505-2E9C-101B-9397-08002B2CF9AE}" pid="3" name="MediaServiceImageTags">
    <vt:lpwstr/>
  </property>
  <property fmtid="{D5CDD505-2E9C-101B-9397-08002B2CF9AE}" pid="4" name="docLang">
    <vt:lpwstr>en</vt:lpwstr>
  </property>
</Properties>
</file>